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C9A84C"/>
          <w:sz w:val="20"/>
          <w:szCs w:val="20"/>
        </w:rPr>
        <w:t xml:space="preserve">UNUS LONDON  |  COMPLIANCE ARCHITECTURE DIVISION</w:t>
      </w:r>
    </w:p>
    <w:p>
      <w:pPr>
        <w:spacing w:after="80"/>
      </w:pPr>
      <w:r>
        <w:rPr>
          <w:rFonts w:ascii="Courier New" w:cs="Courier New" w:eastAsia="Courier New" w:hAnsi="Courier New"/>
          <w:color w:val="D3D1C7"/>
          <w:sz w:val="17"/>
          <w:szCs w:val="17"/>
        </w:rPr>
        <w:t xml:space="preserve">POL-AIMS-001 v1.0  |  INTERNAL TEMPLATE  |  ISO/IEC 42001:2023 Cl. 5.2</w:t>
      </w:r>
    </w:p>
    <w:p>
      <w:pPr>
        <w:pBdr>
          <w:bottom w:val="single" w:color="C9A84C" w:sz="6"/>
        </w:pBdr>
        <w:spacing w:after="120"/>
      </w:pP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0A0F1E"/>
          <w:sz w:val="44"/>
          <w:szCs w:val="44"/>
        </w:rPr>
        <w:t xml:space="preserve">AI Policy</w:t>
      </w:r>
    </w:p>
    <w:p>
      <w:pPr>
        <w:spacing w:after="80"/>
      </w:pPr>
      <w:r>
        <w:rPr>
          <w:rFonts w:ascii="Calibri" w:cs="Calibri" w:eastAsia="Calibri" w:hAnsi="Calibri"/>
          <w:color w:val="3A3A38"/>
          <w:sz w:val="22"/>
          <w:szCs w:val="22"/>
        </w:rPr>
        <w:t xml:space="preserve">Artificial Intelligence Management System — Governing Policy</w:t>
      </w:r>
    </w:p>
    <w:p>
      <w:pPr>
        <w:spacing w:after="320"/>
      </w:pPr>
      <w:r>
        <w:rPr>
          <w:rFonts w:ascii="Calibri" w:cs="Calibri" w:eastAsia="Calibri" w:hAnsi="Calibri"/>
          <w:color w:val="8B6B1A"/>
          <w:sz w:val="17"/>
          <w:szCs w:val="17"/>
        </w:rPr>
        <w:t xml:space="preserve">Template for SRA-regulated UK law firms | Adapt before adoption | Qualified review required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shd w:fill="BA7517" w:color="auto" w:val="clear"/>
            <w:vAlign w:val="center"/>
          </w:tcPr>
          <w:p>
            <w:pPr>
              <w:spacing w:after="80" w:before="8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17"/>
                <w:szCs w:val="17"/>
              </w:rPr>
              <w:t xml:space="preserve">CAUTION</w:t>
            </w:r>
          </w:p>
        </w:tc>
        <w:tc>
          <w:tcPr>
            <w:tcW w:type="dxa" w:w="7900"/>
            <w:shd w:fill="FDFBF5" w:color="auto" w:val="clear"/>
          </w:tcPr>
          <w:p>
            <w:pPr>
              <w:spacing w:after="80" w:before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This template is published for educational purposes only and does not constitute legal advice. All [FIRM NAME] and [DATE] fields shall be replaced before publication. Qualified review required before adoption.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C9A84C" w:sz="4"/>
        </w:pBdr>
        <w:spacing w:after="160" w:before="360"/>
      </w:pPr>
      <w:r>
        <w:rPr>
          <w:rFonts w:ascii="Calibri" w:cs="Calibri" w:eastAsia="Calibri" w:hAnsi="Calibri"/>
          <w:b/>
          <w:bCs/>
          <w:color w:val="0A0F1E"/>
          <w:sz w:val="28"/>
          <w:szCs w:val="28"/>
        </w:rPr>
        <w:t xml:space="preserve">1. Document Control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000"/>
      </w:tblGrid>
      <w:tr>
        <w:tc>
          <w:tcPr>
            <w:tcW w:type="dxa" w:w="2800"/>
            <w:shd w:fill="F4F4F2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Document ID</w:t>
            </w:r>
          </w:p>
        </w:tc>
        <w:tc>
          <w:tcPr>
            <w:tcW w:type="dxa" w:w="6000"/>
            <w:shd w:fill="FFFFFF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POL-AIMS-001</w:t>
            </w:r>
          </w:p>
        </w:tc>
      </w:tr>
      <w:tr>
        <w:tc>
          <w:tcPr>
            <w:tcW w:type="dxa" w:w="2800"/>
            <w:shd w:fill="FAFAF7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Version</w:t>
            </w:r>
          </w:p>
        </w:tc>
        <w:tc>
          <w:tcPr>
            <w:tcW w:type="dxa" w:w="6000"/>
            <w:shd w:fill="FFFFFF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1.0</w:t>
            </w:r>
          </w:p>
        </w:tc>
      </w:tr>
      <w:tr>
        <w:tc>
          <w:tcPr>
            <w:tcW w:type="dxa" w:w="2800"/>
            <w:shd w:fill="F4F4F2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Title</w:t>
            </w:r>
          </w:p>
        </w:tc>
        <w:tc>
          <w:tcPr>
            <w:tcW w:type="dxa" w:w="6000"/>
            <w:shd w:fill="FFFFFF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AI Policy — Artificial Intelligence Management System Policy</w:t>
            </w:r>
          </w:p>
        </w:tc>
      </w:tr>
      <w:tr>
        <w:tc>
          <w:tcPr>
            <w:tcW w:type="dxa" w:w="2800"/>
            <w:shd w:fill="FAFAF7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Status</w:t>
            </w:r>
          </w:p>
        </w:tc>
        <w:tc>
          <w:tcPr>
            <w:tcW w:type="dxa" w:w="6000"/>
            <w:shd w:fill="FFFFFF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DRAFT — set ACTIVE on Managing Partner signature</w:t>
            </w:r>
          </w:p>
        </w:tc>
      </w:tr>
      <w:tr>
        <w:tc>
          <w:tcPr>
            <w:tcW w:type="dxa" w:w="2800"/>
            <w:shd w:fill="F4F4F2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Standard refs</w:t>
            </w:r>
          </w:p>
        </w:tc>
        <w:tc>
          <w:tcPr>
            <w:tcW w:type="dxa" w:w="6000"/>
            <w:shd w:fill="FFFFFF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ISO/IEC 42001:2023 Cl. 5.2; Annex A.2; ISO/IEC Directives Part 2; ISO 9001:2015 Cl. 5.2; IEC 82079-1:2012; SRA Code of Conduct for Firms 2019 Rule 8.1</w:t>
            </w:r>
          </w:p>
        </w:tc>
      </w:tr>
      <w:tr>
        <w:tc>
          <w:tcPr>
            <w:tcW w:type="dxa" w:w="2800"/>
            <w:shd w:fill="FAFAF7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Owner</w:t>
            </w:r>
          </w:p>
        </w:tc>
        <w:tc>
          <w:tcPr>
            <w:tcW w:type="dxa" w:w="6000"/>
            <w:shd w:fill="FFFFFF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Managing Partner (signatory); COLP (maintenance, review, distribution)</w:t>
            </w:r>
          </w:p>
        </w:tc>
      </w:tr>
      <w:tr>
        <w:tc>
          <w:tcPr>
            <w:tcW w:type="dxa" w:w="2800"/>
            <w:shd w:fill="F4F4F2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Classification</w:t>
            </w:r>
          </w:p>
        </w:tc>
        <w:tc>
          <w:tcPr>
            <w:tcW w:type="dxa" w:w="6000"/>
            <w:shd w:fill="FFFFFF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Internal — Controlled. Available to interested parties on request.</w:t>
            </w:r>
          </w:p>
        </w:tc>
      </w:tr>
      <w:tr>
        <w:tc>
          <w:tcPr>
            <w:tcW w:type="dxa" w:w="2800"/>
            <w:shd w:fill="FAFAF7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Date of issue</w:t>
            </w:r>
          </w:p>
        </w:tc>
        <w:tc>
          <w:tcPr>
            <w:tcW w:type="dxa" w:w="6000"/>
            <w:shd w:fill="FFFFFF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[Date of Managing Partner signature]</w:t>
            </w:r>
          </w:p>
        </w:tc>
      </w:tr>
      <w:tr>
        <w:tc>
          <w:tcPr>
            <w:tcW w:type="dxa" w:w="2800"/>
            <w:shd w:fill="F4F4F2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Next review</w:t>
            </w:r>
          </w:p>
        </w:tc>
        <w:tc>
          <w:tcPr>
            <w:tcW w:type="dxa" w:w="6000"/>
            <w:shd w:fill="FFFFFF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Annual minimum. Immediate review on: material regulatory change; new AI system deployment; High/Critical AI incident.</w:t>
            </w:r>
          </w:p>
        </w:tc>
      </w:tr>
      <w:tr>
        <w:tc>
          <w:tcPr>
            <w:tcW w:type="dxa" w:w="2800"/>
            <w:shd w:fill="FAFAF7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Retention</w:t>
            </w:r>
          </w:p>
        </w:tc>
        <w:tc>
          <w:tcPr>
            <w:tcW w:type="dxa" w:w="6000"/>
            <w:shd w:fill="FFFFFF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7 years from date of supersession (UK Companies Act 2006)</w:t>
            </w:r>
          </w:p>
        </w:tc>
      </w:tr>
      <w:tr>
        <w:tc>
          <w:tcPr>
            <w:tcW w:type="dxa" w:w="2800"/>
            <w:shd w:fill="F4F4F2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Related docs</w:t>
            </w:r>
          </w:p>
        </w:tc>
        <w:tc>
          <w:tcPr>
            <w:tcW w:type="dxa" w:w="6000"/>
            <w:shd w:fill="FFFFFF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RACI-AIMS-001; REG-AIMS-SYS-001; DOC-AIMS-DISC-001; REG-AIMS-RISK-001; PROC-AIMS-HITL-001</w:t>
            </w:r>
          </w:p>
        </w:tc>
      </w:tr>
      <w:tr>
        <w:tc>
          <w:tcPr>
            <w:tcW w:type="dxa" w:w="2800"/>
            <w:shd w:fill="FAFAF7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Closes</w:t>
            </w:r>
          </w:p>
        </w:tc>
        <w:tc>
          <w:tcPr>
            <w:tcW w:type="dxa" w:w="6000"/>
            <w:shd w:fill="FFFFFF" w:color="auto" w:val="clear"/>
          </w:tcPr>
          <w:p>
            <w:pPr>
              <w:spacing w:after="70" w:before="7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GAP-01 — ISO/IEC 42001:2023 Cl. 5.2 — per REG-AIMS-GAP-001</w:t>
            </w:r>
          </w:p>
        </w:tc>
      </w:tr>
    </w:tbl>
    <w:p>
      <w:pPr>
        <w:spacing w:after="16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shd w:fill="A32D2D" w:color="auto" w:val="clear"/>
            <w:vAlign w:val="center"/>
          </w:tcPr>
          <w:p>
            <w:pPr>
              <w:spacing w:after="80" w:before="8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17"/>
                <w:szCs w:val="17"/>
              </w:rPr>
              <w:t xml:space="preserve">WARNING</w:t>
            </w:r>
          </w:p>
        </w:tc>
        <w:tc>
          <w:tcPr>
            <w:tcW w:type="dxa" w:w="7900"/>
            <w:shd w:fill="FDFBF5" w:color="auto" w:val="clear"/>
          </w:tcPr>
          <w:p>
            <w:pPr>
              <w:spacing w:after="80" w:before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ISO/IEC 42001:2023 Cl. 5.2 places the AI policy obligation on TOP MANAGEMENT. This document shall be approved and signed by the Managing Partner — not solely the COLP or IT Director. The sign-off block in Section 7 shall be completed before this document is filed.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C9A84C" w:sz="4"/>
        </w:pBdr>
        <w:spacing w:after="160" w:before="360"/>
      </w:pPr>
      <w:r>
        <w:rPr>
          <w:rFonts w:ascii="Calibri" w:cs="Calibri" w:eastAsia="Calibri" w:hAnsi="Calibri"/>
          <w:b/>
          <w:bCs/>
          <w:color w:val="0A0F1E"/>
          <w:sz w:val="28"/>
          <w:szCs w:val="28"/>
        </w:rPr>
        <w:t xml:space="preserve">2. Normative References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3A3A38"/>
          <w:sz w:val="20"/>
          <w:szCs w:val="20"/>
        </w:rPr>
        <w:t xml:space="preserve">For dated references, only the edition cited applies.</w:t>
      </w:r>
    </w:p>
    <w:p>
      <w:pPr>
        <w:spacing w:after="8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600"/>
        <w:gridCol w:w="4000"/>
      </w:tblGrid>
      <w:tr>
        <w:tc>
          <w:tcPr>
            <w:shd w:fill="0A0F1E" w:color="auto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Reference</w:t>
            </w:r>
          </w:p>
        </w:tc>
        <w:tc>
          <w:tcPr>
            <w:shd w:fill="0A0F1E" w:color="auto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shd w:fill="0A0F1E" w:color="auto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Application</w:t>
            </w:r>
          </w:p>
        </w:tc>
      </w:tr>
      <w:tr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A3A38"/>
                <w:sz w:val="18"/>
                <w:szCs w:val="18"/>
              </w:rPr>
              <w:t xml:space="preserve">ISO/IEC 42001:2023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AI Management Systems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Primary standard. Implements Cl. 5.2, supports Cl. 4.4, 5.1, Annex A.2.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A3A38"/>
                <w:sz w:val="18"/>
                <w:szCs w:val="18"/>
              </w:rPr>
              <w:t xml:space="preserve">ISO/IEC Directives Pt 2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Rules for structure and drafting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shall = requirement; should = recommendation; may = permission.</w:t>
            </w:r>
          </w:p>
        </w:tc>
      </w:tr>
      <w:tr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A3A38"/>
                <w:sz w:val="18"/>
                <w:szCs w:val="18"/>
              </w:rPr>
              <w:t xml:space="preserve">ISO 9001:2015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Quality management systems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Cl. 5.2 policy structure; Cl. 7.5.3 document control.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A3A38"/>
                <w:sz w:val="18"/>
                <w:szCs w:val="18"/>
              </w:rPr>
              <w:t xml:space="preserve">IEC 82079-1:2012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Preparation of instructions for use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Document structure; WARNING/CAUTION/NOTE notice hierarchy.</w:t>
            </w:r>
          </w:p>
        </w:tc>
      </w:tr>
      <w:tr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SRA Code for Firms 2019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SRA Standards &amp; Regulations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Rule 8.1(a) COLP duty; Rules 3.2, 3.3 competence extends to AI tools.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SRA AI Guidance 2026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SRA Compliance Tips, 9 Feb 2026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Make clear to clients where they interface with AI.</w:t>
            </w:r>
          </w:p>
        </w:tc>
      </w:tr>
      <w:tr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UK GDPR / DPA 2018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UK General Data Protection Reg.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Arts. 13-14 transparency; Art. 35 DPIA; Art. 46 international transfers.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C9A84C" w:sz="4"/>
        </w:pBdr>
        <w:spacing w:after="160" w:before="360"/>
      </w:pPr>
      <w:r>
        <w:rPr>
          <w:rFonts w:ascii="Calibri" w:cs="Calibri" w:eastAsia="Calibri" w:hAnsi="Calibri"/>
          <w:b/>
          <w:bCs/>
          <w:color w:val="0A0F1E"/>
          <w:sz w:val="28"/>
          <w:szCs w:val="28"/>
        </w:rPr>
        <w:t xml:space="preserve">3. Terms and Definitions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600"/>
      </w:tblGrid>
      <w:tr>
        <w:tc>
          <w:tcPr>
            <w:shd w:fill="0A0F1E" w:color="auto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Term</w:t>
            </w:r>
          </w:p>
        </w:tc>
        <w:tc>
          <w:tcPr>
            <w:shd w:fill="0A0F1E" w:color="auto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Definition</w:t>
            </w:r>
          </w:p>
        </w:tc>
      </w:tr>
      <w:tr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AI system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A machine-based system that, for given objectives, makes predictions, recommendations, decisions, or generates content. (ISO/IEC 42001:2023, 3.1, adapted.)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AIMS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AI Management System — the management system established under ISO/IEC 42001:2023.</w:t>
            </w:r>
          </w:p>
        </w:tc>
      </w:tr>
      <w:tr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Acceptable use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An AI system application authorised by this policy, subject to specified controls.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Prohibited use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An AI system application expressly disallowed by this policy.</w:t>
            </w:r>
          </w:p>
        </w:tc>
      </w:tr>
      <w:tr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Human oversight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Review, verification, and approval of AI outputs by a qualified human before those outputs are communicated to a third party.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Top management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The person or group directing and controlling the organisation at the highest level. In a law firm: the Managing Partner or equivalent.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C9A84C" w:sz="4"/>
        </w:pBdr>
        <w:spacing w:after="160" w:before="360"/>
      </w:pPr>
      <w:r>
        <w:rPr>
          <w:rFonts w:ascii="Calibri" w:cs="Calibri" w:eastAsia="Calibri" w:hAnsi="Calibri"/>
          <w:b/>
          <w:bCs/>
          <w:color w:val="0A0F1E"/>
          <w:sz w:val="28"/>
          <w:szCs w:val="28"/>
        </w:rPr>
        <w:t xml:space="preserve">4. AI Policy Statement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3A3A38"/>
          <w:sz w:val="20"/>
          <w:szCs w:val="20"/>
        </w:rPr>
        <w:t xml:space="preserve">The following sections are the binding policy of [FIRM NAME]. Prescriptive language per ISO/IEC Directives Part 2: shall = requirement; should = recommendation; may = permission.</w:t>
      </w:r>
    </w:p>
    <w:p>
      <w:pPr>
        <w:spacing w:after="12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8400"/>
      </w:tblGrid>
      <w:tr>
        <w:tc>
          <w:tcPr>
            <w:tcW w:type="dxa" w:w="400"/>
            <w:shd w:fill="0A0F1E" w:color="auto" w:val="clear"/>
            <w:vAlign w:val="center"/>
          </w:tcPr>
          <w:p>
            <w:pPr>
              <w:spacing w:after="80" w:before="8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C9A84C"/>
                <w:sz w:val="16"/>
                <w:szCs w:val="16"/>
              </w:rPr>
              <w:t xml:space="preserve">4.1</w:t>
            </w:r>
          </w:p>
        </w:tc>
        <w:tc>
          <w:tcPr>
            <w:tcW w:type="dxa" w:w="8400"/>
            <w:shd w:fill="141F38" w:color="auto" w:val="clear"/>
          </w:tcPr>
          <w:p>
            <w:pPr>
              <w:spacing w:after="80" w:before="100"/>
            </w:pPr>
            <w:r>
              <w:rPr>
                <w:rFonts w:ascii="Calibri" w:cs="Calibri" w:eastAsia="Calibri" w:hAnsi="Calibri"/>
                <w:b/>
                <w:bCs/>
                <w:color w:val="E2C47A"/>
                <w:sz w:val="22"/>
                <w:szCs w:val="22"/>
              </w:rPr>
              <w:t xml:space="preserve">Commitment to Responsible AI Use</w:t>
            </w:r>
          </w:p>
        </w:tc>
      </w:tr>
    </w:tbl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8400"/>
      </w:tblGrid>
      <w:tr>
        <w:tc>
          <w:tcPr>
            <w:tcW w:type="dxa" w:w="400"/>
            <w:shd w:fill="F4F4F2" w:color="auto" w:val="clear"/>
          </w:tcPr>
          <w:p/>
        </w:tc>
        <w:tc>
          <w:tcPr>
            <w:tcW w:type="dxa" w:w="8400"/>
          </w:tcPr>
          <w:p>
            <w:pPr>
              <w:spacing w:after="100" w:before="80"/>
            </w:pPr>
            <w:r>
              <w:rPr>
                <w:rFonts w:ascii="Calibri" w:cs="Calibri" w:eastAsia="Calibri" w:hAnsi="Calibri"/>
                <w:color w:val="3A3A38"/>
                <w:sz w:val="19"/>
                <w:szCs w:val="19"/>
              </w:rPr>
              <w:t xml:space="preserve">[FIRM NAME] shall use AI systems in the delivery of legal services only in a manner that is responsible, transparent, and auditable.</w:t>
            </w:r>
          </w:p>
          <w:p>
            <w:pPr>
              <w:spacing w:after="100" w:before="80"/>
            </w:pPr>
            <w:r>
              <w:rPr>
                <w:rFonts w:ascii="Calibri" w:cs="Calibri" w:eastAsia="Calibri" w:hAnsi="Calibri"/>
                <w:color w:val="3A3A38"/>
                <w:sz w:val="19"/>
                <w:szCs w:val="19"/>
              </w:rPr>
              <w:t xml:space="preserve">The firm shall maintain appropriate human oversight of all AI-generated work product before that work product is communicated to clients, filed with a court or tribunal, or used as the basis for a legal decision.</w:t>
            </w:r>
          </w:p>
          <w:p>
            <w:pPr>
              <w:spacing w:after="100" w:before="80"/>
            </w:pPr>
            <w:r>
              <w:rPr>
                <w:rFonts w:ascii="Calibri" w:cs="Calibri" w:eastAsia="Calibri" w:hAnsi="Calibri"/>
                <w:color w:val="3A3A38"/>
                <w:sz w:val="19"/>
                <w:szCs w:val="19"/>
              </w:rPr>
              <w:t xml:space="preserve">The firm is committed to continual improvement of its AI governance framework and shall review this policy at least annually.</w:t>
            </w:r>
          </w:p>
        </w:tc>
      </w:tr>
    </w:tbl>
    <w:p>
      <w:pPr>
        <w:spacing w:after="8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8400"/>
      </w:tblGrid>
      <w:tr>
        <w:tc>
          <w:tcPr>
            <w:tcW w:type="dxa" w:w="400"/>
            <w:shd w:fill="0A0F1E" w:color="auto" w:val="clear"/>
            <w:vAlign w:val="center"/>
          </w:tcPr>
          <w:p>
            <w:pPr>
              <w:spacing w:after="80" w:before="8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C9A84C"/>
                <w:sz w:val="16"/>
                <w:szCs w:val="16"/>
              </w:rPr>
              <w:t xml:space="preserve">4.2</w:t>
            </w:r>
          </w:p>
        </w:tc>
        <w:tc>
          <w:tcPr>
            <w:tcW w:type="dxa" w:w="8400"/>
            <w:shd w:fill="141F38" w:color="auto" w:val="clear"/>
          </w:tcPr>
          <w:p>
            <w:pPr>
              <w:spacing w:after="80" w:before="100"/>
            </w:pPr>
            <w:r>
              <w:rPr>
                <w:rFonts w:ascii="Calibri" w:cs="Calibri" w:eastAsia="Calibri" w:hAnsi="Calibri"/>
                <w:b/>
                <w:bCs/>
                <w:color w:val="E2C47A"/>
                <w:sz w:val="22"/>
                <w:szCs w:val="22"/>
              </w:rPr>
              <w:t xml:space="preserve">Acceptable AI Use Cases</w:t>
            </w:r>
          </w:p>
        </w:tc>
      </w:tr>
    </w:tbl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8400"/>
      </w:tblGrid>
      <w:tr>
        <w:tc>
          <w:tcPr>
            <w:tcW w:type="dxa" w:w="400"/>
            <w:shd w:fill="F4F4F2" w:color="auto" w:val="clear"/>
          </w:tcPr>
          <w:p/>
        </w:tc>
        <w:tc>
          <w:tcPr>
            <w:tcW w:type="dxa" w:w="8400"/>
          </w:tcPr>
          <w:p>
            <w:pPr>
              <w:spacing w:after="100" w:before="80"/>
            </w:pPr>
            <w:r>
              <w:rPr>
                <w:rFonts w:ascii="Calibri" w:cs="Calibri" w:eastAsia="Calibri" w:hAnsi="Calibri"/>
                <w:color w:val="3A3A38"/>
                <w:sz w:val="19"/>
                <w:szCs w:val="19"/>
              </w:rPr>
              <w:t xml:space="preserve">The following AI use cases are authorised, subject to the human oversight requirements in Section 4.4 and the disclosure requirements in Section 4.5: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Legal research assistance — where all outputs are independently verified by a qualified solicitor before use in any legal work.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Document drafting assistance — where all AI-generated content is reviewed and approved by the responsible fee earner before delivery.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Document summarisation for internal review purposes.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Administrative tasks: billing narrative, scheduling assistance, internal correspondence.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Client communication drafting — where the fee earner reviews and approves all content before sending.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Precedent review and comparison — where the solicitor verifies currency and applicability.</w:t>
            </w:r>
          </w:p>
        </w:tc>
      </w:tr>
    </w:tbl>
    <w:p>
      <w:pPr>
        <w:spacing w:after="8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8400"/>
      </w:tblGrid>
      <w:tr>
        <w:tc>
          <w:tcPr>
            <w:tcW w:type="dxa" w:w="400"/>
            <w:shd w:fill="0A0F1E" w:color="auto" w:val="clear"/>
            <w:vAlign w:val="center"/>
          </w:tcPr>
          <w:p>
            <w:pPr>
              <w:spacing w:after="80" w:before="8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C9A84C"/>
                <w:sz w:val="16"/>
                <w:szCs w:val="16"/>
              </w:rPr>
              <w:t xml:space="preserve">4.3</w:t>
            </w:r>
          </w:p>
        </w:tc>
        <w:tc>
          <w:tcPr>
            <w:tcW w:type="dxa" w:w="8400"/>
            <w:shd w:fill="141F38" w:color="auto" w:val="clear"/>
          </w:tcPr>
          <w:p>
            <w:pPr>
              <w:spacing w:after="80" w:before="100"/>
            </w:pPr>
            <w:r>
              <w:rPr>
                <w:rFonts w:ascii="Calibri" w:cs="Calibri" w:eastAsia="Calibri" w:hAnsi="Calibri"/>
                <w:b/>
                <w:bCs/>
                <w:color w:val="E2C47A"/>
                <w:sz w:val="22"/>
                <w:szCs w:val="22"/>
              </w:rPr>
              <w:t xml:space="preserve">Prohibited AI Uses</w:t>
            </w:r>
          </w:p>
        </w:tc>
      </w:tr>
    </w:tbl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8400"/>
      </w:tblGrid>
      <w:tr>
        <w:tc>
          <w:tcPr>
            <w:tcW w:type="dxa" w:w="400"/>
            <w:shd w:fill="F4F4F2" w:color="auto" w:val="clear"/>
          </w:tcPr>
          <w:p/>
        </w:tc>
        <w:tc>
          <w:tcPr>
            <w:tcW w:type="dxa" w:w="8400"/>
          </w:tcPr>
          <w:p>
            <w:pPr>
              <w:spacing w:after="100" w:before="80"/>
            </w:pPr>
            <w:r>
              <w:rPr>
                <w:rFonts w:ascii="Calibri" w:cs="Calibri" w:eastAsia="Calibri" w:hAnsi="Calibri"/>
                <w:color w:val="3A3A38"/>
                <w:sz w:val="19"/>
                <w:szCs w:val="19"/>
              </w:rPr>
              <w:t xml:space="preserve">The following uses are expressly prohibited. No exception may be made without Managing Partner approval and a formal policy amendment.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Submitting AI-generated legal research, citations, or arguments to a court, tribunal, or regulatory authority without independent verification by a qualified solicitor. NOTE: Ayinde v Haringey [2025] EWHC 1383 (Admin) identified 18 fabricated AI-generated citations — this prohibition directly addresses that risk.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Using AI to conduct AML risk assessment or client due diligence as a substitute for qualified human assessment.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Uploading client documents containing personal data or privileged information to any AI system not listed in REG-AIMS-SYS-001.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Using consumer-grade or free-tier AI accounts for any matter-related work.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Using AI to provide autonomous legal advice without qualified solicitor review and sign-off.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Sharing client confidential information with AI systems where Terms of Service do not prohibit use of that data for model training.</w:t>
            </w:r>
          </w:p>
        </w:tc>
      </w:tr>
    </w:tbl>
    <w:p>
      <w:pPr>
        <w:spacing w:after="8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8400"/>
      </w:tblGrid>
      <w:tr>
        <w:tc>
          <w:tcPr>
            <w:tcW w:type="dxa" w:w="400"/>
            <w:shd w:fill="0A0F1E" w:color="auto" w:val="clear"/>
            <w:vAlign w:val="center"/>
          </w:tcPr>
          <w:p>
            <w:pPr>
              <w:spacing w:after="80" w:before="8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C9A84C"/>
                <w:sz w:val="16"/>
                <w:szCs w:val="16"/>
              </w:rPr>
              <w:t xml:space="preserve">4.4</w:t>
            </w:r>
          </w:p>
        </w:tc>
        <w:tc>
          <w:tcPr>
            <w:tcW w:type="dxa" w:w="8400"/>
            <w:shd w:fill="141F38" w:color="auto" w:val="clear"/>
          </w:tcPr>
          <w:p>
            <w:pPr>
              <w:spacing w:after="80" w:before="100"/>
            </w:pPr>
            <w:r>
              <w:rPr>
                <w:rFonts w:ascii="Calibri" w:cs="Calibri" w:eastAsia="Calibri" w:hAnsi="Calibri"/>
                <w:b/>
                <w:bCs/>
                <w:color w:val="E2C47A"/>
                <w:sz w:val="22"/>
                <w:szCs w:val="22"/>
              </w:rPr>
              <w:t xml:space="preserve">Human Oversight — Non-Negotiable Requirement</w:t>
            </w:r>
          </w:p>
        </w:tc>
      </w:tr>
    </w:tbl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8400"/>
      </w:tblGrid>
      <w:tr>
        <w:tc>
          <w:tcPr>
            <w:tcW w:type="dxa" w:w="400"/>
            <w:shd w:fill="F4F4F2" w:color="auto" w:val="clear"/>
          </w:tcPr>
          <w:p/>
        </w:tc>
        <w:tc>
          <w:tcPr>
            <w:tcW w:type="dxa" w:w="8400"/>
          </w:tcPr>
          <w:p>
            <w:pPr>
              <w:spacing w:after="100" w:before="80"/>
            </w:pPr>
            <w:r>
              <w:rPr>
                <w:rFonts w:ascii="Calibri" w:cs="Calibri" w:eastAsia="Calibri" w:hAnsi="Calibri"/>
                <w:color w:val="3A3A38"/>
                <w:sz w:val="19"/>
                <w:szCs w:val="19"/>
              </w:rPr>
              <w:t xml:space="preserve">Human oversight is a non-negotiable requirement. The following shall apply to all AI system use in the delivery of legal services: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No AI-generated output shall be submitted to a client, filed with a court, or used as the sole basis for a legal decision without review and approval by the responsible qualified solicitor.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The responsible solicitor shall document the AI review step in the matter management system: system used, task, date, nature of review, reviewer name.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The Human Oversight Procedure (PROC-AIMS-HITL-001) defines minimum review requirements by output type. Compliance with PROC-AIMS-HITL-001 is a requirement of this policy.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Paralegals and trainees using AI shall notify their supervising solicitor. The supervisor shall review all AI-assisted work before external communication or filing.</w:t>
            </w:r>
          </w:p>
        </w:tc>
      </w:tr>
    </w:tbl>
    <w:p>
      <w:pPr>
        <w:spacing w:after="8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8400"/>
      </w:tblGrid>
      <w:tr>
        <w:tc>
          <w:tcPr>
            <w:tcW w:type="dxa" w:w="400"/>
            <w:shd w:fill="0A0F1E" w:color="auto" w:val="clear"/>
            <w:vAlign w:val="center"/>
          </w:tcPr>
          <w:p>
            <w:pPr>
              <w:spacing w:after="80" w:before="8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C9A84C"/>
                <w:sz w:val="16"/>
                <w:szCs w:val="16"/>
              </w:rPr>
              <w:t xml:space="preserve">4.5</w:t>
            </w:r>
          </w:p>
        </w:tc>
        <w:tc>
          <w:tcPr>
            <w:tcW w:type="dxa" w:w="8400"/>
            <w:shd w:fill="141F38" w:color="auto" w:val="clear"/>
          </w:tcPr>
          <w:p>
            <w:pPr>
              <w:spacing w:after="80" w:before="100"/>
            </w:pPr>
            <w:r>
              <w:rPr>
                <w:rFonts w:ascii="Calibri" w:cs="Calibri" w:eastAsia="Calibri" w:hAnsi="Calibri"/>
                <w:b/>
                <w:bCs/>
                <w:color w:val="E2C47A"/>
                <w:sz w:val="22"/>
                <w:szCs w:val="22"/>
              </w:rPr>
              <w:t xml:space="preserve">AI Disclosure to Clients</w:t>
            </w:r>
          </w:p>
        </w:tc>
      </w:tr>
    </w:tbl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8400"/>
      </w:tblGrid>
      <w:tr>
        <w:tc>
          <w:tcPr>
            <w:tcW w:type="dxa" w:w="400"/>
            <w:shd w:fill="F4F4F2" w:color="auto" w:val="clear"/>
          </w:tcPr>
          <w:p/>
        </w:tc>
        <w:tc>
          <w:tcPr>
            <w:tcW w:type="dxa" w:w="8400"/>
          </w:tcPr>
          <w:p>
            <w:pPr>
              <w:spacing w:after="100" w:before="80"/>
            </w:pPr>
            <w:r>
              <w:rPr>
                <w:rFonts w:ascii="Calibri" w:cs="Calibri" w:eastAsia="Calibri" w:hAnsi="Calibri"/>
                <w:color w:val="3A3A38"/>
                <w:sz w:val="19"/>
                <w:szCs w:val="19"/>
              </w:rPr>
              <w:t xml:space="preserve">The firm shall make clear to clients where AI systems are involved in the delivery of legal services (SRA AI guidance, 9 February 2026):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AI disclosure shall be provided to all clients at matter opening using DOC-AIMS-DISC-001.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Where a materially new AI system is introduced to an existing client matter, revised disclosure shall be provided before use.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Clients' requests that AI systems are not used on their matter shall be escalated to the COLP.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Fee earners shall not misrepresent whether AI has been used in the delivery of legal services.</w:t>
            </w:r>
          </w:p>
        </w:tc>
      </w:tr>
    </w:tbl>
    <w:p>
      <w:pPr>
        <w:spacing w:after="8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8400"/>
      </w:tblGrid>
      <w:tr>
        <w:tc>
          <w:tcPr>
            <w:tcW w:type="dxa" w:w="400"/>
            <w:shd w:fill="0A0F1E" w:color="auto" w:val="clear"/>
            <w:vAlign w:val="center"/>
          </w:tcPr>
          <w:p>
            <w:pPr>
              <w:spacing w:after="80" w:before="8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C9A84C"/>
                <w:sz w:val="16"/>
                <w:szCs w:val="16"/>
              </w:rPr>
              <w:t xml:space="preserve">4.6</w:t>
            </w:r>
          </w:p>
        </w:tc>
        <w:tc>
          <w:tcPr>
            <w:tcW w:type="dxa" w:w="8400"/>
            <w:shd w:fill="141F38" w:color="auto" w:val="clear"/>
          </w:tcPr>
          <w:p>
            <w:pPr>
              <w:spacing w:after="80" w:before="100"/>
            </w:pPr>
            <w:r>
              <w:rPr>
                <w:rFonts w:ascii="Calibri" w:cs="Calibri" w:eastAsia="Calibri" w:hAnsi="Calibri"/>
                <w:b/>
                <w:bCs/>
                <w:color w:val="E2C47A"/>
                <w:sz w:val="22"/>
                <w:szCs w:val="22"/>
              </w:rPr>
              <w:t xml:space="preserve">Review Cycle and Policy Ownership</w:t>
            </w:r>
          </w:p>
        </w:tc>
      </w:tr>
    </w:tbl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8400"/>
      </w:tblGrid>
      <w:tr>
        <w:tc>
          <w:tcPr>
            <w:tcW w:type="dxa" w:w="400"/>
            <w:shd w:fill="F4F4F2" w:color="auto" w:val="clear"/>
          </w:tcPr>
          <w:p/>
        </w:tc>
        <w:tc>
          <w:tcPr>
            <w:tcW w:type="dxa" w:w="8400"/>
          </w:tcPr>
          <w:p>
            <w:pPr>
              <w:spacing w:after="100" w:before="80"/>
            </w:pPr>
            <w:r>
              <w:rPr>
                <w:rFonts w:ascii="Calibri" w:cs="Calibri" w:eastAsia="Calibri" w:hAnsi="Calibri"/>
                <w:color w:val="3A3A38"/>
                <w:sz w:val="19"/>
                <w:szCs w:val="19"/>
              </w:rPr>
              <w:t xml:space="preserve">This policy shall be maintained and reviewed as follows: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Annual review: the COLP shall conduct an annual review, with the outcome presented to senior leadership for re-approval.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Immediate review triggered by: material regulatory change; significant new AI system deployment; High/Critical AI incident.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Version control: each revision receives an incremented version number, new issue date, and new sign-off. Previous versions retained for 7 years.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→  The COLP shall ensure the current version is accessible to all fee earners. Material changes communicated within 5 business days of approval.</w:t>
            </w:r>
          </w:p>
        </w:tc>
      </w:tr>
    </w:tbl>
    <w:p>
      <w:pPr>
        <w:spacing w:after="80"/>
      </w:pPr>
    </w:p>
    <w:p>
      <w:pPr>
        <w:spacing w:after="200"/>
      </w:pPr>
    </w:p>
    <w:p>
      <w:pPr>
        <w:pStyle w:val="Heading1"/>
        <w:pBdr>
          <w:bottom w:val="single" w:color="C9A84C" w:sz="4"/>
        </w:pBdr>
        <w:spacing w:after="160" w:before="360"/>
      </w:pPr>
      <w:r>
        <w:rPr>
          <w:rFonts w:ascii="Calibri" w:cs="Calibri" w:eastAsia="Calibri" w:hAnsi="Calibri"/>
          <w:b/>
          <w:bCs/>
          <w:color w:val="0A0F1E"/>
          <w:sz w:val="28"/>
          <w:szCs w:val="28"/>
        </w:rPr>
        <w:t xml:space="preserve">5. Scope of Application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3A3A38"/>
          <w:sz w:val="20"/>
          <w:szCs w:val="20"/>
        </w:rPr>
        <w:t xml:space="preserve">This policy shall apply to: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3A3A38"/>
          <w:sz w:val="18"/>
          <w:szCs w:val="18"/>
        </w:rPr>
        <w:t xml:space="preserve">All partners, solicitors, paralegals, trainees, and support staff employed by or contracted to [FIRM NAME].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3A3A38"/>
          <w:sz w:val="18"/>
          <w:szCs w:val="18"/>
        </w:rPr>
        <w:t xml:space="preserve">All third parties acting on behalf of the firm in the delivery of legal services.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3A3A38"/>
          <w:sz w:val="18"/>
          <w:szCs w:val="18"/>
        </w:rPr>
        <w:t xml:space="preserve">All AI systems in active use by the firm, as listed in REG-AIMS-SYS-001.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3A3A38"/>
          <w:sz w:val="18"/>
          <w:szCs w:val="18"/>
        </w:rPr>
        <w:t xml:space="preserve">All AI activities conducted for the purpose of delivering legal services, regardless of location.</w:t>
      </w:r>
    </w:p>
    <w:p>
      <w:pPr>
        <w:spacing w:after="80"/>
      </w:pP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3A3A38"/>
          <w:sz w:val="20"/>
          <w:szCs w:val="20"/>
        </w:rPr>
        <w:t xml:space="preserve">This policy shall not apply to: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3A3A38"/>
          <w:sz w:val="18"/>
          <w:szCs w:val="18"/>
        </w:rPr>
        <w:t xml:space="preserve">Use of AI systems by clients acting independently in their own operations.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3A3A38"/>
          <w:sz w:val="18"/>
          <w:szCs w:val="18"/>
        </w:rPr>
        <w:t xml:space="preserve">Personal use of AI systems by staff for non-work purposes, provided no client or firm confidential data is involved.</w:t>
      </w:r>
    </w:p>
    <w:p>
      <w:pPr>
        <w:spacing w:after="200"/>
      </w:pPr>
    </w:p>
    <w:p>
      <w:pPr>
        <w:pStyle w:val="Heading1"/>
        <w:pBdr>
          <w:bottom w:val="single" w:color="C9A84C" w:sz="4"/>
        </w:pBdr>
        <w:spacing w:after="160" w:before="360"/>
      </w:pPr>
      <w:r>
        <w:rPr>
          <w:rFonts w:ascii="Calibri" w:cs="Calibri" w:eastAsia="Calibri" w:hAnsi="Calibri"/>
          <w:b/>
          <w:bCs/>
          <w:color w:val="0A0F1E"/>
          <w:sz w:val="28"/>
          <w:szCs w:val="28"/>
        </w:rPr>
        <w:t xml:space="preserve">6. Responsibilities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600"/>
      </w:tblGrid>
      <w:tr>
        <w:tc>
          <w:tcPr>
            <w:shd w:fill="0A0F1E" w:color="auto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shd w:fill="0A0F1E" w:color="auto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Responsibility under this policy</w:t>
            </w:r>
          </w:p>
        </w:tc>
      </w:tr>
      <w:tr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Managing Partner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Approval authority for this policy and all amendments. Demonstrates top management commitment per ISO/IEC 42001:2023 Cl. 5.1.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COLP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Maintains this policy. Conducts annual review. Communicates changes. Monitors compliance. Reports to senior leadership.</w:t>
            </w:r>
          </w:p>
        </w:tc>
      </w:tr>
      <w:tr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Head of IT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Maintains REG-AIMS-SYS-001. Ensures only approved AI systems are accessible. Reports new AI deployments to COLP.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All fee earners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Shall comply with this policy. Shall report suspected breaches or AI incidents to the COLP immediately.</w:t>
            </w:r>
          </w:p>
        </w:tc>
      </w:tr>
      <w:tr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A38"/>
                <w:sz w:val="18"/>
                <w:szCs w:val="18"/>
              </w:rPr>
              <w:t xml:space="preserve">Supervising solicitors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Shall oversee AI use by supervised staff. Shall review all AI-assisted work before external communication.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C9A84C" w:sz="4"/>
        </w:pBdr>
        <w:spacing w:after="160" w:before="360"/>
      </w:pPr>
      <w:r>
        <w:rPr>
          <w:rFonts w:ascii="Calibri" w:cs="Calibri" w:eastAsia="Calibri" w:hAnsi="Calibri"/>
          <w:b/>
          <w:bCs/>
          <w:color w:val="0A0F1E"/>
          <w:sz w:val="28"/>
          <w:szCs w:val="28"/>
        </w:rPr>
        <w:t xml:space="preserve">7. Approval and Sign-Off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900"/>
      </w:tblGrid>
      <w:tr>
        <w:tc>
          <w:tcPr>
            <w:tcW w:type="dxa" w:w="900"/>
            <w:shd w:fill="A32D2D" w:color="auto" w:val="clear"/>
            <w:vAlign w:val="center"/>
          </w:tcPr>
          <w:p>
            <w:pPr>
              <w:spacing w:after="80" w:before="8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17"/>
                <w:szCs w:val="17"/>
              </w:rPr>
              <w:t xml:space="preserve">WARNING</w:t>
            </w:r>
          </w:p>
        </w:tc>
        <w:tc>
          <w:tcPr>
            <w:tcW w:type="dxa" w:w="7900"/>
            <w:shd w:fill="FDFBF5" w:color="auto" w:val="clear"/>
          </w:tcPr>
          <w:p>
            <w:pPr>
              <w:spacing w:after="80" w:before="80"/>
            </w:pPr>
            <w:r>
              <w:rPr>
                <w:rFonts w:ascii="Calibri" w:cs="Calibri" w:eastAsia="Calibri" w:hAnsi="Calibri"/>
                <w:color w:val="3A3A38"/>
                <w:sz w:val="18"/>
                <w:szCs w:val="18"/>
              </w:rPr>
              <w:t xml:space="preserve">This document is not active until signed by the Managing Partner. Sign and date below before filing in the document management system.</w:t>
            </w:r>
          </w:p>
        </w:tc>
      </w:tr>
    </w:tbl>
    <w:p>
      <w:pPr>
        <w:spacing w:after="16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200"/>
        <w:gridCol w:w="3200"/>
      </w:tblGrid>
      <w:tr>
        <w:tc>
          <w:tcPr>
            <w:shd w:fill="0A0F1E" w:color="auto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shd w:fill="0A0F1E" w:color="auto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shd w:fill="0A0F1E" w:color="auto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 and Date</w:t>
            </w:r>
          </w:p>
        </w:tc>
      </w:tr>
      <w:tr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Author / COLP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[COLP name and position]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_______________________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Managing Partner (Approver)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[Managing Partner name]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_______________________</w:t>
            </w:r>
          </w:p>
        </w:tc>
      </w:tr>
      <w:tr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Reviewer (optional)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[External compliance consultant]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_______________________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C9A84C" w:sz="4"/>
        </w:pBdr>
        <w:spacing w:after="160" w:before="360"/>
      </w:pPr>
      <w:r>
        <w:rPr>
          <w:rFonts w:ascii="Calibri" w:cs="Calibri" w:eastAsia="Calibri" w:hAnsi="Calibri"/>
          <w:b/>
          <w:bCs/>
          <w:color w:val="0A0F1E"/>
          <w:sz w:val="28"/>
          <w:szCs w:val="28"/>
        </w:rPr>
        <w:t xml:space="preserve">8. Amendment History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1400"/>
        <w:gridCol w:w="5200"/>
        <w:gridCol w:w="1400"/>
      </w:tblGrid>
      <w:tr>
        <w:tc>
          <w:tcPr>
            <w:shd w:fill="0A0F1E" w:color="auto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shd w:fill="0A0F1E" w:color="auto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shd w:fill="0A0F1E" w:color="auto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Summary of changes</w:t>
            </w:r>
          </w:p>
        </w:tc>
        <w:tc>
          <w:tcPr>
            <w:shd w:fill="0A0F1E" w:color="auto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1.0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[Insert date]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Initial issue. Based on UNUS London POL-AIMS-001 v1.0 template (3 July 2026). Adapted for [FIRM NAME].</w:t>
            </w:r>
          </w:p>
        </w:tc>
        <w:tc>
          <w:tcPr>
            <w:shd w:fill="F4F4F2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>[MP initials]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/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/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/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A3A38"/>
                <w:sz w:val="18"/>
                <w:szCs w:val="18"/>
              </w:rPr>
              <w:t xml:space="preserve"/>
            </w:r>
          </w:p>
        </w:tc>
      </w:tr>
    </w:tbl>
    <w:p>
      <w:pPr>
        <w:spacing w:after="400"/>
      </w:pPr>
    </w:p>
    <w:p>
      <w:pPr>
        <w:pBdr>
          <w:bottom w:val="single" w:color="C9A84C" w:sz="6"/>
        </w:pBdr>
        <w:spacing w:after="120"/>
      </w:pP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888885"/>
          <w:sz w:val="20"/>
          <w:szCs w:val="20"/>
        </w:rPr>
        <w:t xml:space="preserve">UNUS London Ltd. | Compliance Architecture Division | unuslondon.com | POL-AIMS-001 v1.0 Template | Closes GAP-01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888885"/>
          <w:sz w:val="20"/>
          <w:szCs w:val="20"/>
        </w:rPr>
        <w:t xml:space="preserve">Educational purposes only. Not legal advice. Adapt and review before adoption. Retention: 7 years (UK Companies Act 2006).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2026-07-03T18:01:52.341Z</dcterms:created>
  <dcterms:modified xsi:type="dcterms:W3CDTF">2026-07-03T18:01:52.356Z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